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1BADA387" w:rsidR="0035747B" w:rsidRPr="007028B8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</w:pPr>
      <w:r w:rsidRPr="0003162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  <w:t xml:space="preserve">     </w:t>
      </w:r>
      <w:r w:rsid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 xml:space="preserve">   </w:t>
      </w:r>
      <w:r w:rsidR="00985545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2</w:t>
      </w:r>
      <w:r w:rsidRPr="007028B8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 xml:space="preserve"> </w:t>
      </w:r>
      <w:r w:rsidR="00985545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octom</w:t>
      </w:r>
      <w:r w:rsidRPr="007028B8"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brie 2025</w:t>
      </w:r>
    </w:p>
    <w:p w14:paraId="0B75324D" w14:textId="77777777" w:rsidR="0035747B" w:rsidRPr="007028B8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3"/>
          <w:szCs w:val="23"/>
          <w:u w:val="single"/>
          <w14:ligatures w14:val="none"/>
        </w:rPr>
      </w:pPr>
      <w:r w:rsidRPr="007028B8">
        <w:rPr>
          <w:rFonts w:ascii="Book Antiqua" w:eastAsia="Calibri" w:hAnsi="Book Antiqua" w:cs="Times New Roman"/>
          <w:b/>
          <w:bCs/>
          <w:kern w:val="0"/>
          <w:sz w:val="23"/>
          <w:szCs w:val="23"/>
          <w:u w:val="single"/>
          <w14:ligatures w14:val="none"/>
        </w:rPr>
        <w:t>COMUNICAT DE PRESĂ</w:t>
      </w:r>
    </w:p>
    <w:p w14:paraId="5AB6A654" w14:textId="77777777" w:rsidR="00D150CF" w:rsidRDefault="00D150CF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</w:pPr>
    </w:p>
    <w:p w14:paraId="65EB9065" w14:textId="19F43ED2" w:rsidR="00985545" w:rsidRPr="00985545" w:rsidRDefault="00985545" w:rsidP="005E5363">
      <w:pPr>
        <w:shd w:val="clear" w:color="auto" w:fill="FFFFFF"/>
        <w:spacing w:after="0" w:line="240" w:lineRule="auto"/>
        <w:jc w:val="center"/>
        <w:rPr>
          <w:rFonts w:ascii="Cambria" w:eastAsia="Calibri" w:hAnsi="Cambria" w:cs="Times New Roman"/>
          <w:i/>
          <w:iCs/>
          <w:kern w:val="0"/>
          <w:sz w:val="23"/>
          <w:szCs w:val="23"/>
          <w14:ligatures w14:val="none"/>
        </w:rPr>
      </w:pPr>
      <w:r>
        <w:rPr>
          <w:rFonts w:ascii="Book Antiqua" w:eastAsia="Calibri" w:hAnsi="Book Antiqua" w:cs="Times New Roman"/>
          <w:i/>
          <w:iCs/>
          <w:kern w:val="0"/>
          <w:sz w:val="23"/>
          <w:szCs w:val="23"/>
          <w14:ligatures w14:val="none"/>
        </w:rPr>
        <w:t>40 de premii ob</w:t>
      </w:r>
      <w:r>
        <w:rPr>
          <w:rFonts w:ascii="Cambria" w:eastAsia="Calibri" w:hAnsi="Cambria" w:cs="Times New Roman"/>
          <w:i/>
          <w:iCs/>
          <w:kern w:val="0"/>
          <w:sz w:val="23"/>
          <w:szCs w:val="23"/>
          <w14:ligatures w14:val="none"/>
        </w:rPr>
        <w:t>ținute în luna septembrie de sportivii CSM Constanța</w:t>
      </w:r>
    </w:p>
    <w:p w14:paraId="0044920A" w14:textId="77777777" w:rsidR="00985545" w:rsidRDefault="00985545" w:rsidP="00985545">
      <w:pPr>
        <w:shd w:val="clear" w:color="auto" w:fill="FFFFFF"/>
        <w:spacing w:after="0" w:line="240" w:lineRule="auto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3FA42921" w14:textId="2703D46D" w:rsidR="00985545" w:rsidRDefault="00985545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În ultima săptămână a lunii septembrie, sportivii C</w:t>
      </w:r>
      <w:r w:rsidR="0054464F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SM </w:t>
      </w: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Constan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ța au continuat 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seria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rezultatel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or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bune și foarte bune în competițiile naționale și internaționale.</w:t>
      </w:r>
    </w:p>
    <w:p w14:paraId="2C2392AF" w14:textId="77777777" w:rsidR="002971B0" w:rsidRDefault="002971B0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72B20F61" w14:textId="27CBA597" w:rsidR="00985545" w:rsidRDefault="00985545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Astfel, triatlonistul Carol Popa și-a reconfirmat valoarea la Campionatele Balcanice de Seniori din Turcia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unde a obținut medalia de aur. Cu acest titlu, campionul constănțean se înscri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 la loc de frunte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galeria celor mai titrați sportivi ai Clubului pe anul în curs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privește cu încredere la Campionatele Mondiale care vor avea loc peste doar două săptămâni în Australia.</w:t>
      </w:r>
    </w:p>
    <w:p w14:paraId="1D768194" w14:textId="0F9A0DC1" w:rsidR="002971B0" w:rsidRDefault="00985545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La aceeași competiție, Raul Petre s-a clasat pe un onorant loc 5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fapt care confirmă profesionalismul triatloniștilor 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pregătiți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 Cristian Doicescu.  </w:t>
      </w:r>
    </w:p>
    <w:p w14:paraId="66B1172A" w14:textId="6BBF1ADD" w:rsidR="00985545" w:rsidRDefault="00985545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2BC86FBA" w14:textId="5467D297" w:rsidR="002971B0" w:rsidRDefault="002971B0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Antrenați de Ramona Pop, Mario Takacs-Sixt și Bogdan Ivanovici, coordonați de Ciprian Mîndru, mai t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inerii baschetbaliști au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(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re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)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confi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r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mat că, în timp și cu răbdare, putem construi o echipă competitivă, centrată pe jucători constănțeni. Astfel, în cadrul primului turneu din cadrul Campionatului Național de Juniori U15, băieții noștri au obținut trei victorii din tot atâtea partide disputate: 68-45 cu CSS Tulcea, 73-31 cu AC Cuza Pirates Brăila, 59</w:t>
      </w:r>
      <w:r w:rsidR="00CF51D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-</w:t>
      </w:r>
      <w:r w:rsidR="00A324F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35 cu CSM Galați. </w:t>
      </w:r>
    </w:p>
    <w:p w14:paraId="061EF7C8" w14:textId="77777777" w:rsidR="002971B0" w:rsidRDefault="002971B0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677B20E5" w14:textId="1CC176FD" w:rsidR="0035315B" w:rsidRDefault="002971B0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Aceeași (re)confirmare vine și prin încheierea parteneriatului cu ACS </w:t>
      </w:r>
      <w:r w:rsidR="00CF51D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„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Tomitanii</w:t>
      </w:r>
      <w:r w:rsidR="00CF51D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înscrierea în Campionatul Național de Rugby a dou</w:t>
      </w:r>
      <w:r w:rsidR="00CF51D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ă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echipe, de Juniori II și III, pe scheletul cărora 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începe reconstrucția unei echipe competitive</w:t>
      </w:r>
      <w:r w:rsidR="00544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la nivel de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Lig</w:t>
      </w:r>
      <w:r w:rsidR="00544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ă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superioară.</w:t>
      </w:r>
    </w:p>
    <w:p w14:paraId="02321FD5" w14:textId="77777777" w:rsid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099DCE00" w14:textId="22F67F29" w:rsidR="0035315B" w:rsidRDefault="0065590C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Sub îndrumarea lui Aihan Omer și Marius Stavrositu,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handbaliștii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noștri au pierdut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dramatic</w:t>
      </w:r>
      <w:r w:rsidR="00CF51D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confruntarea cu CSM Vaslui,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însă </w:t>
      </w:r>
      <w:r w:rsidR="0035315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au câștigat tribuna și telespecatorii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prin dăruirea de care au dat dovadă pe tot parcursul meciului.</w:t>
      </w:r>
    </w:p>
    <w:p w14:paraId="0F95F2A7" w14:textId="77777777" w:rsid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03875464" w14:textId="3C6F3822" w:rsid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Trăgând linie la finele lunii septembrie, 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palmaresul C</w:t>
      </w:r>
      <w:r w:rsidR="00544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lubului 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</w:t>
      </w:r>
      <w:r w:rsidR="00544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portiv 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</w:t>
      </w:r>
      <w:r w:rsidR="0054464F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unicipal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Constanța s-a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541BC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îmbogățit cu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40 de premii naționale și internaționale, astfel: 14 locuri I, dintre care trei europene, unul de Cupă Mondială, două balcanice și 8 naționale; 10 locuri II, dintre care unul european, unul balcanic și opt naționale; 16 locuri I</w:t>
      </w:r>
      <w:r w:rsidR="0065590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II, dintre care patru balcanice și 12 naționale.</w:t>
      </w:r>
    </w:p>
    <w:p w14:paraId="67FB1437" w14:textId="77777777" w:rsid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628B15A1" w14:textId="77777777" w:rsidR="0035315B" w:rsidRP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35315B"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14:ligatures w14:val="none"/>
        </w:rPr>
        <w:t>Comunicare CSM Constanța</w:t>
      </w:r>
    </w:p>
    <w:p w14:paraId="11999C2A" w14:textId="7F25A72B" w:rsidR="0035315B" w:rsidRDefault="0035315B" w:rsidP="002971B0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sectPr w:rsidR="0035315B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B44B" w14:textId="77777777" w:rsidR="00D973D6" w:rsidRDefault="00D973D6" w:rsidP="002F5332">
      <w:pPr>
        <w:spacing w:after="0" w:line="240" w:lineRule="auto"/>
      </w:pPr>
      <w:r>
        <w:separator/>
      </w:r>
    </w:p>
  </w:endnote>
  <w:endnote w:type="continuationSeparator" w:id="0">
    <w:p w14:paraId="3D31F448" w14:textId="77777777" w:rsidR="00D973D6" w:rsidRDefault="00D973D6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AB66" w14:textId="77777777" w:rsidR="00D973D6" w:rsidRDefault="00D973D6" w:rsidP="002F5332">
      <w:pPr>
        <w:spacing w:after="0" w:line="240" w:lineRule="auto"/>
      </w:pPr>
      <w:r>
        <w:separator/>
      </w:r>
    </w:p>
  </w:footnote>
  <w:footnote w:type="continuationSeparator" w:id="0">
    <w:p w14:paraId="0DAFE414" w14:textId="77777777" w:rsidR="00D973D6" w:rsidRDefault="00D973D6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61BF0"/>
    <w:rsid w:val="001242E9"/>
    <w:rsid w:val="00125554"/>
    <w:rsid w:val="00136DE4"/>
    <w:rsid w:val="00160271"/>
    <w:rsid w:val="0019121F"/>
    <w:rsid w:val="001D363D"/>
    <w:rsid w:val="00246DDA"/>
    <w:rsid w:val="00282C52"/>
    <w:rsid w:val="00294261"/>
    <w:rsid w:val="002971B0"/>
    <w:rsid w:val="002D7600"/>
    <w:rsid w:val="002F5332"/>
    <w:rsid w:val="00330ED1"/>
    <w:rsid w:val="0035315B"/>
    <w:rsid w:val="0035747B"/>
    <w:rsid w:val="00362680"/>
    <w:rsid w:val="00370B24"/>
    <w:rsid w:val="00373087"/>
    <w:rsid w:val="003C6EC9"/>
    <w:rsid w:val="0044385D"/>
    <w:rsid w:val="004D053C"/>
    <w:rsid w:val="004D44E0"/>
    <w:rsid w:val="00531051"/>
    <w:rsid w:val="00541BC9"/>
    <w:rsid w:val="0054464F"/>
    <w:rsid w:val="005C4938"/>
    <w:rsid w:val="005E5363"/>
    <w:rsid w:val="005F4313"/>
    <w:rsid w:val="0065590C"/>
    <w:rsid w:val="006703EC"/>
    <w:rsid w:val="0067388E"/>
    <w:rsid w:val="006B000D"/>
    <w:rsid w:val="007028B8"/>
    <w:rsid w:val="00721107"/>
    <w:rsid w:val="0077792A"/>
    <w:rsid w:val="007965F7"/>
    <w:rsid w:val="007B4386"/>
    <w:rsid w:val="007C056D"/>
    <w:rsid w:val="007E649B"/>
    <w:rsid w:val="0082497E"/>
    <w:rsid w:val="008565A0"/>
    <w:rsid w:val="008D4F30"/>
    <w:rsid w:val="008E1CEF"/>
    <w:rsid w:val="008E2F69"/>
    <w:rsid w:val="008E31B0"/>
    <w:rsid w:val="00964D82"/>
    <w:rsid w:val="00985545"/>
    <w:rsid w:val="00997194"/>
    <w:rsid w:val="009F6CED"/>
    <w:rsid w:val="00A3212A"/>
    <w:rsid w:val="00A324FF"/>
    <w:rsid w:val="00A452DD"/>
    <w:rsid w:val="00A50E30"/>
    <w:rsid w:val="00A5241C"/>
    <w:rsid w:val="00A52ED1"/>
    <w:rsid w:val="00A56081"/>
    <w:rsid w:val="00A91EFF"/>
    <w:rsid w:val="00B279C8"/>
    <w:rsid w:val="00B32460"/>
    <w:rsid w:val="00B632B4"/>
    <w:rsid w:val="00B70B11"/>
    <w:rsid w:val="00BB121A"/>
    <w:rsid w:val="00BC377C"/>
    <w:rsid w:val="00BD7A55"/>
    <w:rsid w:val="00C40022"/>
    <w:rsid w:val="00C412EA"/>
    <w:rsid w:val="00C667D6"/>
    <w:rsid w:val="00CA3A9B"/>
    <w:rsid w:val="00CA5458"/>
    <w:rsid w:val="00CA6D51"/>
    <w:rsid w:val="00CD4CE3"/>
    <w:rsid w:val="00CF51DD"/>
    <w:rsid w:val="00D150CF"/>
    <w:rsid w:val="00D2725A"/>
    <w:rsid w:val="00D275C6"/>
    <w:rsid w:val="00D7758F"/>
    <w:rsid w:val="00D973D6"/>
    <w:rsid w:val="00E0476A"/>
    <w:rsid w:val="00E0547C"/>
    <w:rsid w:val="00E16EE2"/>
    <w:rsid w:val="00E33994"/>
    <w:rsid w:val="00E624A3"/>
    <w:rsid w:val="00E76844"/>
    <w:rsid w:val="00E86634"/>
    <w:rsid w:val="00EE7013"/>
    <w:rsid w:val="00F14D1A"/>
    <w:rsid w:val="00F20A4E"/>
    <w:rsid w:val="00F27432"/>
    <w:rsid w:val="00FB307C"/>
    <w:rsid w:val="00FD777D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5</cp:revision>
  <dcterms:created xsi:type="dcterms:W3CDTF">2025-10-02T08:28:00Z</dcterms:created>
  <dcterms:modified xsi:type="dcterms:W3CDTF">2025-10-02T11:38:00Z</dcterms:modified>
</cp:coreProperties>
</file>